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DE05B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bookmarkStart w:id="0" w:name="_GoBack"/>
            <w:r w:rsidR="00DE05B2" w:rsidRPr="00DE05B2">
              <w:rPr>
                <w:rFonts w:asciiTheme="majorHAnsi" w:hAnsiTheme="majorHAnsi" w:cs="Arial"/>
                <w:b/>
                <w:sz w:val="18"/>
                <w:szCs w:val="18"/>
              </w:rPr>
              <w:t>Physical and Health Education II</w:t>
            </w:r>
            <w:bookmarkEnd w:id="0"/>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E05B2">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E05B2">
              <w:rPr>
                <w:rFonts w:asciiTheme="majorHAnsi" w:hAnsiTheme="majorHAnsi" w:cs="Arial"/>
                <w:b/>
                <w:sz w:val="18"/>
                <w:szCs w:val="18"/>
              </w:rPr>
              <w:t>0</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1D2D3F">
                    <w:rPr>
                      <w:rFonts w:asciiTheme="majorHAnsi" w:hAnsiTheme="majorHAnsi" w:cs="Arial"/>
                      <w:b/>
                      <w:sz w:val="18"/>
                      <w:szCs w:val="18"/>
                    </w:rPr>
                  </w:r>
                  <w:r w:rsidR="001D2D3F">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E05B2" w:rsidRPr="00DE05B2">
              <w:rPr>
                <w:rFonts w:asciiTheme="majorHAnsi" w:hAnsiTheme="majorHAnsi" w:cs="Arial"/>
                <w:b/>
                <w:sz w:val="18"/>
                <w:szCs w:val="18"/>
              </w:rPr>
              <w:t>Certified first semester and enrolled second semester of the first year of the first-cycle studies</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E05B2" w:rsidRPr="00DE05B2">
              <w:rPr>
                <w:rFonts w:asciiTheme="majorHAnsi" w:hAnsiTheme="majorHAnsi"/>
                <w:b/>
                <w:sz w:val="18"/>
                <w:szCs w:val="18"/>
              </w:rPr>
              <w:t xml:space="preserve"> Students I cycle at the Faculty of Natural Sciences and Mathematics – Department of Chemistry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E05B2">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DE05B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E05B2">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E05B2">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1F6E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6E23">
              <w:rPr>
                <w:rFonts w:asciiTheme="majorHAnsi" w:hAnsiTheme="majorHAnsi" w:cs="Arial"/>
                <w:b/>
                <w:sz w:val="18"/>
                <w:szCs w:val="18"/>
              </w:rPr>
              <w:t xml:space="preserve"> </w:t>
            </w:r>
            <w:r w:rsidR="00DE05B2">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E05B2">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1F6E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E05B2">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E05B2" w:rsidRPr="00DE05B2">
              <w:rPr>
                <w:rFonts w:asciiTheme="majorHAnsi" w:hAnsiTheme="majorHAnsi" w:cs="Arial"/>
                <w:b/>
                <w:sz w:val="18"/>
                <w:szCs w:val="18"/>
              </w:rPr>
              <w:t xml:space="preserve"> Faculty of Natural Sciences and Mathematics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DE05B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E05B2">
              <w:rPr>
                <w:rFonts w:asciiTheme="majorHAnsi" w:hAnsiTheme="majorHAnsi" w:cs="Arial"/>
                <w:b/>
                <w:sz w:val="18"/>
                <w:szCs w:val="18"/>
              </w:rPr>
              <w:t>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E05B2" w:rsidRPr="00DE05B2">
              <w:rPr>
                <w:rFonts w:asciiTheme="majorHAnsi" w:hAnsiTheme="majorHAnsi" w:cs="Arial"/>
                <w:b/>
                <w:sz w:val="18"/>
                <w:szCs w:val="18"/>
              </w:rPr>
              <w:t xml:space="preserve">The aim of physical and health education in higher education is to enable students to acquire new motor skills, improve their fundamental theoretical and practical motor knowledge and skills, prevent deterioration or premature decline in physical characteristics and abilities caused by insufficient physical activity, develop the capacity for independent physical </w:t>
            </w:r>
            <w:r w:rsidR="00DE05B2" w:rsidRPr="00DE05B2">
              <w:rPr>
                <w:rFonts w:asciiTheme="majorHAnsi" w:hAnsiTheme="majorHAnsi" w:cs="Arial"/>
                <w:b/>
                <w:sz w:val="18"/>
                <w:szCs w:val="18"/>
              </w:rPr>
              <w:lastRenderedPageBreak/>
              <w:t>exercise and the rational and meaningful use of leisure time, promote physical exercise and sports culture, and contribute to a better quality of life in youth, adulthood, and old age.</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E05B2" w:rsidRPr="00DE05B2">
              <w:rPr>
                <w:rFonts w:asciiTheme="majorHAnsi" w:hAnsiTheme="majorHAnsi" w:cs="Arial"/>
                <w:b/>
                <w:sz w:val="18"/>
                <w:szCs w:val="18"/>
              </w:rPr>
              <w:t>To understand the purpose of practical kinesiology-based education within the field of physical and health education. Students will acquire theoretical knowledge of the rules and sports competitions and will improve the basic elements of the technique and tactics of the selected sport, as well as receive guidance on maintaining and improving specific anthropological characteristics. By informing students about the importance of daily physical exercise, proper nutrition, personal hygiene, appropriate sports clothing and footwear, and appropriate behaviour on sports grounds, it is possible to foster the development of exercise habits aimed at improving health and quality of life.</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E05B2" w:rsidRPr="00DE05B2" w:rsidRDefault="006D5B9B" w:rsidP="00DE05B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E05B2" w:rsidRPr="00DE05B2">
              <w:rPr>
                <w:rFonts w:asciiTheme="majorHAnsi" w:hAnsiTheme="majorHAnsi" w:cs="Arial"/>
                <w:b/>
                <w:sz w:val="18"/>
                <w:szCs w:val="18"/>
              </w:rPr>
              <w:t>The Physical and Health Education programme at the University of Tuzla is divided into several teaching programmes whose common feature is the choice of a kinesiology-based activity during the academic year. Conceptually, this teaching programme builds upon the curricular content of physical and health education provided in secondary school. Students choose among these programmes according to their interests, the level of acquired motor skills, their level of ability, and their state of health. Within the course, at the beginning of the semester, students select one of the offered teaching programmes, which they are required to attend in the second semester. The available programmes are as follows: Basketball, Football, Volleyball, Aerobics, Fitness, Table Tennis, Self-Defence, Hiking in Nature, Acrobatics, Sport Climbing, Handball, Dance, Karate, Tae Bo, Badminton, Tennis, and Chess.</w:t>
            </w:r>
          </w:p>
          <w:p w:rsidR="00CB72ED" w:rsidRPr="00B96B4F" w:rsidRDefault="00DE05B2" w:rsidP="00DE05B2">
            <w:pPr>
              <w:pStyle w:val="NoSpacing"/>
              <w:rPr>
                <w:rFonts w:asciiTheme="majorHAnsi" w:hAnsiTheme="majorHAnsi" w:cs="Arial"/>
                <w:b/>
                <w:sz w:val="18"/>
                <w:szCs w:val="18"/>
              </w:rPr>
            </w:pPr>
            <w:r w:rsidRPr="00DE05B2">
              <w:rPr>
                <w:rFonts w:asciiTheme="majorHAnsi" w:hAnsiTheme="majorHAnsi" w:cs="Arial"/>
                <w:b/>
                <w:sz w:val="18"/>
                <w:szCs w:val="18"/>
              </w:rPr>
              <w:t>The programme chosen by the student in the first semester does not oblige them to attend the same programme in the second semester; they may either continue with the same programme or choose and attend another of the offered options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E05B2" w:rsidRPr="00DE05B2">
              <w:rPr>
                <w:rFonts w:asciiTheme="majorHAnsi" w:hAnsiTheme="majorHAnsi" w:cs="Arial"/>
                <w:b/>
                <w:sz w:val="18"/>
                <w:szCs w:val="18"/>
              </w:rPr>
              <w:t>For the purpose of effective course delivery and the attainment of the expected course objectives and student competencies during and at the end of the semester, the course incorporates learning activities aimed at promoting successful learning, specifically concrete experience, observation, and active experimentation. The learning styles represented in the teaching process include visual, auditory, and kinesthetic styles, while the principal teaching method is theoretical–practical instruction (practical classes).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E05B2" w:rsidRPr="00DE05B2">
              <w:rPr>
                <w:rFonts w:asciiTheme="majorHAnsi" w:hAnsiTheme="majorHAnsi" w:cs="Arial"/>
                <w:b/>
                <w:sz w:val="18"/>
                <w:szCs w:val="18"/>
              </w:rPr>
              <w:t>The assessment of knowledge and skills will be conducted throughout the teaching process by monitoring students’ regular attendance and active participation during the first semester, comprising 30 contact hours (15 class sessions).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E05B2" w:rsidRPr="00DE05B2" w:rsidRDefault="006D5B9B" w:rsidP="00DE05B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E05B2" w:rsidRPr="00DE05B2">
              <w:rPr>
                <w:rFonts w:asciiTheme="majorHAnsi" w:hAnsiTheme="majorHAnsi" w:cs="Arial"/>
                <w:b/>
                <w:sz w:val="18"/>
                <w:szCs w:val="18"/>
              </w:rPr>
              <w:t>The final grade is determined on the basis of the total number of class attendances during the second semester. In order to obtain a passing colloquium mark, a student must attend (and actively participate in) at least two-thirds of the total instruction time (20 teaching hours). If this requirement is not met, the student is required to make up the missed classes at subsequently scheduled times. Upon successful completion of the course content in this subject, the student receives the final mark “Passed by colloquium”.</w:t>
            </w:r>
          </w:p>
          <w:p w:rsidR="00DE05B2" w:rsidRPr="00DE05B2" w:rsidRDefault="00DE05B2" w:rsidP="00DE05B2">
            <w:pPr>
              <w:pStyle w:val="NoSpacing"/>
              <w:rPr>
                <w:rFonts w:asciiTheme="majorHAnsi" w:hAnsiTheme="majorHAnsi" w:cs="Arial"/>
                <w:b/>
                <w:sz w:val="18"/>
                <w:szCs w:val="18"/>
              </w:rPr>
            </w:pPr>
            <w:r w:rsidRPr="00DE05B2">
              <w:rPr>
                <w:rFonts w:asciiTheme="majorHAnsi" w:hAnsiTheme="majorHAnsi" w:cs="Arial"/>
                <w:b/>
                <w:sz w:val="18"/>
                <w:szCs w:val="18"/>
              </w:rPr>
              <w:t xml:space="preserve">Points </w:t>
            </w:r>
            <w:r w:rsidR="003D5B1A">
              <w:rPr>
                <w:rFonts w:asciiTheme="majorHAnsi" w:hAnsiTheme="majorHAnsi" w:cs="Arial"/>
                <w:b/>
                <w:sz w:val="18"/>
                <w:szCs w:val="18"/>
              </w:rPr>
              <w:t xml:space="preserve">     </w:t>
            </w:r>
            <w:r w:rsidRPr="00DE05B2">
              <w:rPr>
                <w:rFonts w:asciiTheme="majorHAnsi" w:hAnsiTheme="majorHAnsi" w:cs="Arial"/>
                <w:b/>
                <w:sz w:val="18"/>
                <w:szCs w:val="18"/>
              </w:rPr>
              <w:t xml:space="preserve"> Grade </w:t>
            </w:r>
            <w:r w:rsidR="003D5B1A">
              <w:rPr>
                <w:rFonts w:asciiTheme="majorHAnsi" w:hAnsiTheme="majorHAnsi" w:cs="Arial"/>
                <w:b/>
                <w:sz w:val="18"/>
                <w:szCs w:val="18"/>
              </w:rPr>
              <w:t xml:space="preserve">     </w:t>
            </w:r>
            <w:r w:rsidRPr="00DE05B2">
              <w:rPr>
                <w:rFonts w:asciiTheme="majorHAnsi" w:hAnsiTheme="majorHAnsi" w:cs="Arial"/>
                <w:b/>
                <w:sz w:val="18"/>
                <w:szCs w:val="18"/>
              </w:rPr>
              <w:t xml:space="preserve"> ECTS grade</w:t>
            </w:r>
          </w:p>
          <w:p w:rsidR="00CB72ED" w:rsidRPr="00B96B4F" w:rsidRDefault="003D5B1A" w:rsidP="001F6E23">
            <w:pPr>
              <w:pStyle w:val="NoSpacing"/>
              <w:rPr>
                <w:rFonts w:asciiTheme="majorHAnsi" w:hAnsiTheme="majorHAnsi" w:cs="Arial"/>
                <w:b/>
                <w:sz w:val="18"/>
                <w:szCs w:val="18"/>
              </w:rPr>
            </w:pPr>
            <w:r>
              <w:rPr>
                <w:rFonts w:asciiTheme="majorHAnsi" w:hAnsiTheme="majorHAnsi" w:cs="Arial"/>
                <w:b/>
                <w:sz w:val="18"/>
                <w:szCs w:val="18"/>
              </w:rPr>
              <w:t xml:space="preserve"> </w:t>
            </w:r>
            <w:r w:rsidR="00DE05B2" w:rsidRPr="00DE05B2">
              <w:rPr>
                <w:rFonts w:asciiTheme="majorHAnsi" w:hAnsiTheme="majorHAnsi" w:cs="Arial"/>
                <w:b/>
                <w:sz w:val="18"/>
                <w:szCs w:val="18"/>
              </w:rPr>
              <w:t xml:space="preserve">&lt;55 </w:t>
            </w:r>
            <w:r>
              <w:rPr>
                <w:rFonts w:asciiTheme="majorHAnsi" w:hAnsiTheme="majorHAnsi" w:cs="Arial"/>
                <w:b/>
                <w:sz w:val="18"/>
                <w:szCs w:val="18"/>
              </w:rPr>
              <w:t xml:space="preserve">               </w:t>
            </w:r>
            <w:r w:rsidR="00DE05B2" w:rsidRPr="00DE05B2">
              <w:rPr>
                <w:rFonts w:asciiTheme="majorHAnsi" w:hAnsiTheme="majorHAnsi" w:cs="Arial"/>
                <w:b/>
                <w:sz w:val="18"/>
                <w:szCs w:val="18"/>
              </w:rPr>
              <w:t>5</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D5B1A">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1F6E23">
              <w:rPr>
                <w:rFonts w:asciiTheme="majorHAnsi" w:hAnsiTheme="majorHAnsi" w:cs="Arial"/>
                <w:b/>
                <w:sz w:val="18"/>
                <w:szCs w:val="18"/>
              </w:rPr>
              <w:lastRenderedPageBreak/>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1F6E23">
              <w:rPr>
                <w:rFonts w:asciiTheme="majorHAnsi" w:hAnsiTheme="majorHAnsi" w:cs="Arial"/>
                <w:b/>
                <w:sz w:val="18"/>
                <w:szCs w:val="18"/>
              </w:rPr>
            </w:r>
            <w:r w:rsidRPr="001F6E23">
              <w:rPr>
                <w:rFonts w:asciiTheme="majorHAnsi" w:hAnsiTheme="majorHAnsi" w:cs="Arial"/>
                <w:b/>
                <w:sz w:val="18"/>
                <w:szCs w:val="18"/>
              </w:rPr>
              <w:fldChar w:fldCharType="separate"/>
            </w:r>
            <w:r w:rsidR="00FB48B6" w:rsidRPr="001F6E23">
              <w:rPr>
                <w:rFonts w:asciiTheme="majorHAnsi" w:hAnsiTheme="majorHAnsi" w:cs="Arial"/>
                <w:b/>
                <w:spacing w:val="216"/>
                <w:sz w:val="18"/>
                <w:szCs w:val="18"/>
              </w:rPr>
              <w:t>    </w:t>
            </w:r>
            <w:r w:rsidR="00FB48B6" w:rsidRPr="001F6E23">
              <w:rPr>
                <w:rFonts w:asciiTheme="majorHAnsi" w:hAnsiTheme="majorHAnsi" w:cs="Arial"/>
                <w:b/>
                <w:spacing w:val="-1"/>
                <w:sz w:val="18"/>
                <w:szCs w:val="18"/>
              </w:rPr>
              <w:t> </w:t>
            </w:r>
            <w:r w:rsidRPr="001F6E23">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2D3F" w:rsidRDefault="001D2D3F">
      <w:pPr>
        <w:spacing w:line="240" w:lineRule="auto"/>
      </w:pPr>
      <w:r>
        <w:separator/>
      </w:r>
    </w:p>
  </w:endnote>
  <w:endnote w:type="continuationSeparator" w:id="0">
    <w:p w:rsidR="001D2D3F" w:rsidRDefault="001D2D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1457B3">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1457B3">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1457B3">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2D3F" w:rsidRDefault="001D2D3F">
      <w:pPr>
        <w:spacing w:after="0"/>
      </w:pPr>
      <w:r>
        <w:separator/>
      </w:r>
    </w:p>
  </w:footnote>
  <w:footnote w:type="continuationSeparator" w:id="0">
    <w:p w:rsidR="001D2D3F" w:rsidRDefault="001D2D3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457B3"/>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D2D3F"/>
    <w:rsid w:val="001E2CEF"/>
    <w:rsid w:val="001F251C"/>
    <w:rsid w:val="001F6D8D"/>
    <w:rsid w:val="001F6E23"/>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5B1A"/>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0972"/>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B6298"/>
    <w:rsid w:val="00DC2E13"/>
    <w:rsid w:val="00DC4ECD"/>
    <w:rsid w:val="00DD1ECB"/>
    <w:rsid w:val="00DE03F6"/>
    <w:rsid w:val="00DE05B2"/>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ED65AC-E1D5-4902-8FC3-36D8D1AC1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80561-1319-4678-B587-70C1EAD9E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844</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2026-03-17T07:37:00Z</dcterms:created>
  <dcterms:modified xsi:type="dcterms:W3CDTF">2026-03-17T07:37:00Z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